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625" w:rsidRDefault="00010D30" w:rsidP="00010D30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</w:t>
      </w:r>
      <w:r w:rsidR="00DD185A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F16625" w:rsidRDefault="00DD185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010D30" w:rsidRDefault="00010D30" w:rsidP="00010D30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от 24 сентября 2025 года № 81</w:t>
      </w:r>
    </w:p>
    <w:p w:rsidR="00F16625" w:rsidRDefault="00DD185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F16625" w:rsidRDefault="00DD185A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F16625" w:rsidRPr="00010D30" w:rsidRDefault="00DD185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обрания участников публичных слушаний по проектам постановлений Администрации города Костромы </w:t>
      </w:r>
      <w:r w:rsidRPr="00010D30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 w:eastAsia="ru-RU"/>
        </w:rPr>
        <w:t>или объектов капитального строительства</w:t>
      </w:r>
      <w:r w:rsidRPr="00010D30">
        <w:rPr>
          <w:rFonts w:ascii="Times New Roman" w:hAnsi="Times New Roman" w:cs="Times New Roman"/>
          <w:color w:val="000000"/>
          <w:sz w:val="26"/>
          <w:szCs w:val="26"/>
          <w:lang w:val="ru-RU"/>
        </w:rPr>
        <w:t>, имеющих местопо</w:t>
      </w:r>
      <w:r w:rsidRPr="00010D3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ложение в городе Костроме: территория ГСК 70 Апрель, улица Профсоюзная, бокс 36, с кадастровым номером 44:27:070408:1399, </w:t>
      </w:r>
      <w:r w:rsidRPr="00010D30">
        <w:rPr>
          <w:rFonts w:ascii="Times New Roman" w:hAnsi="Times New Roman" w:cs="Times New Roman"/>
          <w:sz w:val="26"/>
          <w:szCs w:val="26"/>
          <w:lang w:val="ru-RU"/>
        </w:rPr>
        <w:t>улица Профсоюзная, ГПК 9А, бокс 82, с кадастровым номером 44:27:070408:1400</w:t>
      </w:r>
    </w:p>
    <w:p w:rsidR="00F16625" w:rsidRPr="00010D30" w:rsidRDefault="00F16625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</w:p>
    <w:p w:rsidR="00F16625" w:rsidRPr="00010D30" w:rsidRDefault="00DD185A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                                         </w:t>
      </w:r>
    </w:p>
    <w:p w:rsidR="00F16625" w:rsidRPr="00010D30" w:rsidRDefault="00DD185A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14 октября 2025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года</w:t>
      </w:r>
    </w:p>
    <w:p w:rsidR="00F16625" w:rsidRDefault="00DD185A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15.50</w:t>
      </w:r>
    </w:p>
    <w:p w:rsidR="00F16625" w:rsidRDefault="00DD185A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– 5 мин.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Янова Елена Сергеевна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на условно разрешенный вид использования земельного участка или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44:27:070408:1399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70 Апрель, улица Профсоюзная, бокс 36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F16625" w:rsidRDefault="00DD185A" w:rsidP="00010D30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010D3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 мин.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на условно разрешенный вид использования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земельного участка или объекта капитального строительства с кадастровым номером 44:27:070408:1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400, имеющего местоположение: Российская Федерация, Костромская область, городской округ город Кострома, город Кострома, улица Профсоюзная,            ГПК 9А, бокс 82; </w:t>
      </w:r>
    </w:p>
    <w:p w:rsidR="00F16625" w:rsidRDefault="00DD185A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010D30">
        <w:rPr>
          <w:rFonts w:ascii="Times New Roman" w:hAnsi="Times New Roman" w:cs="Times New Roman"/>
          <w:sz w:val="26"/>
          <w:szCs w:val="26"/>
        </w:rPr>
        <w:t>–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Вопросы к выступившим (в письменной, устной форме)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– 5 мин.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10 мин.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Подвед</w:t>
      </w:r>
      <w:r>
        <w:rPr>
          <w:rFonts w:ascii="Times New Roman" w:hAnsi="Times New Roman" w:cs="Times New Roman"/>
          <w:sz w:val="26"/>
          <w:szCs w:val="26"/>
        </w:rPr>
        <w:t>ение итогов публичных слушаний и оглашение проекта заключения.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 Заключительное с</w:t>
      </w:r>
      <w:r>
        <w:rPr>
          <w:rFonts w:ascii="Times New Roman" w:hAnsi="Times New Roman" w:cs="Times New Roman"/>
          <w:sz w:val="26"/>
          <w:szCs w:val="26"/>
        </w:rPr>
        <w:t>лово председательствующего.</w:t>
      </w:r>
    </w:p>
    <w:p w:rsidR="00F16625" w:rsidRDefault="00DD185A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- председатель Комиссии по подготовке проекта Правил землепользования и застройки города Костромы                                        – 5 мин.</w:t>
      </w:r>
    </w:p>
    <w:sectPr w:rsidR="00F16625" w:rsidSect="00010D30">
      <w:pgSz w:w="11906" w:h="16838"/>
      <w:pgMar w:top="1134" w:right="403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85A" w:rsidRDefault="00DD185A">
      <w:pPr>
        <w:spacing w:after="0" w:line="240" w:lineRule="auto"/>
      </w:pPr>
      <w:r>
        <w:separator/>
      </w:r>
    </w:p>
  </w:endnote>
  <w:endnote w:type="continuationSeparator" w:id="0">
    <w:p w:rsidR="00DD185A" w:rsidRDefault="00DD1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85A" w:rsidRDefault="00DD185A">
      <w:pPr>
        <w:spacing w:after="0" w:line="240" w:lineRule="auto"/>
      </w:pPr>
      <w:r>
        <w:separator/>
      </w:r>
    </w:p>
  </w:footnote>
  <w:footnote w:type="continuationSeparator" w:id="0">
    <w:p w:rsidR="00DD185A" w:rsidRDefault="00DD1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56F54"/>
    <w:multiLevelType w:val="hybridMultilevel"/>
    <w:tmpl w:val="55889F6A"/>
    <w:lvl w:ilvl="0" w:tplc="30569C88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ADE81A5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900E1398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FEB40A40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924615CE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FD20404A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C0481EDC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4202D336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51A2157C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77E3DBC"/>
    <w:multiLevelType w:val="hybridMultilevel"/>
    <w:tmpl w:val="41EA0BB8"/>
    <w:lvl w:ilvl="0" w:tplc="E964590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47FACC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3D4AEA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BEAFCE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3F6A4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C5A71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3E281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D76DA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E8838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25"/>
    <w:rsid w:val="00010D30"/>
    <w:rsid w:val="00DD185A"/>
    <w:rsid w:val="00EA6784"/>
    <w:rsid w:val="00F1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88017-98EA-4F60-8226-154A85FA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372</cp:revision>
  <cp:lastPrinted>2025-09-24T11:44:00Z</cp:lastPrinted>
  <dcterms:created xsi:type="dcterms:W3CDTF">2019-01-28T16:03:00Z</dcterms:created>
  <dcterms:modified xsi:type="dcterms:W3CDTF">2025-09-24T12:13:00Z</dcterms:modified>
  <dc:language>ru-RU</dc:language>
</cp:coreProperties>
</file>